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7F39" w14:textId="1EC4FE83" w:rsidR="00561F7E" w:rsidRDefault="00561F7E" w:rsidP="000C71F1">
      <w:pPr>
        <w:rPr>
          <w:b/>
          <w:bCs/>
        </w:rPr>
      </w:pPr>
      <w:r w:rsidRPr="00561F7E">
        <w:rPr>
          <w:b/>
          <w:bCs/>
        </w:rPr>
        <w:t>Chargeable extras </w:t>
      </w:r>
    </w:p>
    <w:p w14:paraId="2B64F9ED" w14:textId="40846475" w:rsidR="00D46D56" w:rsidRPr="00AD7582" w:rsidRDefault="00D976DF" w:rsidP="000C71F1">
      <w:r>
        <w:t xml:space="preserve">These extras are </w:t>
      </w:r>
      <w:r w:rsidR="00DC1E29">
        <w:t>considered</w:t>
      </w:r>
      <w:r w:rsidR="00725847">
        <w:t xml:space="preserve"> on the current fee structure for those children that are not funded.  Children that receive funding will need to </w:t>
      </w:r>
      <w:r w:rsidR="00DC1E29">
        <w:t xml:space="preserve">be aware of the chargeable extras in the table below.  </w:t>
      </w:r>
      <w:r w:rsidR="00D46D56" w:rsidRPr="00AD7582">
        <w:t>We currently accept children for Breakfast and After School Club who attend Nursery</w:t>
      </w:r>
      <w:r w:rsidR="00D54FC4" w:rsidRPr="00AD7582">
        <w:t>.</w:t>
      </w:r>
    </w:p>
    <w:p w14:paraId="3E0432F1" w14:textId="441A2650" w:rsidR="00D54FC4" w:rsidRPr="00AD7582" w:rsidRDefault="00D54FC4" w:rsidP="000C71F1">
      <w:r w:rsidRPr="00AD7582">
        <w:t>Breakfast is from 7.45am or 7.30am for early start.</w:t>
      </w:r>
      <w:r w:rsidR="00AD7582" w:rsidRPr="00AD7582">
        <w:t xml:space="preserve">  We then take to school or drop off at SPINS Nursery.</w:t>
      </w:r>
    </w:p>
    <w:p w14:paraId="6BEC19C3" w14:textId="1401B02A" w:rsidR="00D54FC4" w:rsidRPr="00AD7582" w:rsidRDefault="00D54FC4" w:rsidP="000C71F1">
      <w:r w:rsidRPr="00AD7582">
        <w:t xml:space="preserve">We </w:t>
      </w:r>
      <w:r w:rsidR="00A6242A" w:rsidRPr="00AD7582">
        <w:t>can</w:t>
      </w:r>
      <w:r w:rsidRPr="00AD7582">
        <w:t xml:space="preserve"> collect from SPINS Nursery at 2.15pm or from Schools at 3.15</w:t>
      </w:r>
      <w:r w:rsidR="00AD7582" w:rsidRPr="00AD7582">
        <w:t>pm (St Thomas of Canterbury) or 3.20pm (Roger de Clare and Jenyns).</w:t>
      </w:r>
    </w:p>
    <w:p w14:paraId="10B077F7" w14:textId="77777777" w:rsidR="00561F7E" w:rsidRPr="00561F7E" w:rsidRDefault="00561F7E" w:rsidP="00561F7E">
      <w:r w:rsidRPr="00561F7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4740"/>
        <w:gridCol w:w="1065"/>
        <w:gridCol w:w="1545"/>
        <w:gridCol w:w="1470"/>
      </w:tblGrid>
      <w:tr w:rsidR="00561F7E" w:rsidRPr="00561F7E" w14:paraId="4E65E513" w14:textId="77777777">
        <w:trPr>
          <w:trHeight w:val="705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5CF6F26E" w14:textId="77777777" w:rsidR="00561F7E" w:rsidRPr="00561F7E" w:rsidRDefault="00561F7E" w:rsidP="00561F7E">
            <w:pPr>
              <w:rPr>
                <w:b/>
                <w:bCs/>
              </w:rPr>
            </w:pPr>
            <w:r w:rsidRPr="00561F7E">
              <w:rPr>
                <w:b/>
                <w:bCs/>
              </w:rPr>
              <w:t>Description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8BF4C8B" w14:textId="77777777" w:rsidR="00561F7E" w:rsidRPr="00561F7E" w:rsidRDefault="00561F7E" w:rsidP="00561F7E">
            <w:pPr>
              <w:rPr>
                <w:b/>
                <w:bCs/>
              </w:rPr>
            </w:pPr>
            <w:r w:rsidRPr="00561F7E">
              <w:rPr>
                <w:b/>
                <w:bCs/>
              </w:rPr>
              <w:t>Unit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2DE81729" w14:textId="77777777" w:rsidR="00561F7E" w:rsidRPr="00561F7E" w:rsidRDefault="00561F7E" w:rsidP="00561F7E">
            <w:pPr>
              <w:rPr>
                <w:b/>
                <w:bCs/>
              </w:rPr>
            </w:pPr>
            <w:r w:rsidRPr="00561F7E">
              <w:rPr>
                <w:b/>
                <w:bCs/>
              </w:rPr>
              <w:t>Unit price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3BCD4F3F" w14:textId="77777777" w:rsidR="00561F7E" w:rsidRPr="00561F7E" w:rsidRDefault="00561F7E" w:rsidP="00561F7E">
            <w:pPr>
              <w:rPr>
                <w:b/>
                <w:bCs/>
              </w:rPr>
            </w:pPr>
            <w:r w:rsidRPr="00561F7E">
              <w:rPr>
                <w:b/>
                <w:bCs/>
              </w:rPr>
              <w:t>Line total </w:t>
            </w:r>
          </w:p>
        </w:tc>
      </w:tr>
      <w:tr w:rsidR="00561F7E" w:rsidRPr="00561F7E" w14:paraId="7B1C75FA" w14:textId="77777777">
        <w:trPr>
          <w:trHeight w:val="345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1E4CB" w14:textId="77777777" w:rsidR="00561F7E" w:rsidRPr="00561F7E" w:rsidRDefault="00561F7E" w:rsidP="00561F7E">
            <w:r w:rsidRPr="00561F7E">
              <w:t>Free entitlement hours –xxx hours per week (must not have a charge).</w:t>
            </w:r>
            <w:r w:rsidRPr="00561F7E">
              <w:rPr>
                <w:b/>
                <w:bCs/>
              </w:rPr>
              <w:t> </w:t>
            </w:r>
            <w:r w:rsidRPr="00561F7E"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2FFE2" w14:textId="77777777" w:rsidR="00561F7E" w:rsidRPr="00561F7E" w:rsidRDefault="00561F7E" w:rsidP="00561F7E">
            <w:r w:rsidRPr="00561F7E">
              <w:t>Weekly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F6D86" w14:textId="77777777" w:rsidR="00561F7E" w:rsidRPr="00561F7E" w:rsidRDefault="00561F7E" w:rsidP="00561F7E">
            <w:r w:rsidRPr="00561F7E">
              <w:t>Funded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98127" w14:textId="77777777" w:rsidR="00561F7E" w:rsidRPr="00561F7E" w:rsidRDefault="00561F7E" w:rsidP="00561F7E">
            <w:r w:rsidRPr="00561F7E">
              <w:t>Funded </w:t>
            </w:r>
          </w:p>
        </w:tc>
      </w:tr>
      <w:tr w:rsidR="00561F7E" w:rsidRPr="00561F7E" w14:paraId="0FC846D9" w14:textId="77777777">
        <w:trPr>
          <w:trHeight w:val="345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6FC99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527F6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AF2EB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5E03D" w14:textId="77777777" w:rsidR="00561F7E" w:rsidRPr="00561F7E" w:rsidRDefault="00561F7E" w:rsidP="00561F7E">
            <w:r w:rsidRPr="00561F7E">
              <w:t> </w:t>
            </w:r>
          </w:p>
        </w:tc>
      </w:tr>
      <w:tr w:rsidR="00561F7E" w:rsidRPr="00561F7E" w14:paraId="1F7438EB" w14:textId="77777777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2BFA3" w14:textId="77777777" w:rsidR="00561F7E" w:rsidRPr="00561F7E" w:rsidRDefault="00561F7E" w:rsidP="00561F7E">
            <w:r w:rsidRPr="00561F7E">
              <w:t>Additional hours purchased – xxx hours per week as needed if space allows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E8AA9" w14:textId="77777777" w:rsidR="00561F7E" w:rsidRPr="00561F7E" w:rsidRDefault="00561F7E" w:rsidP="00561F7E">
            <w:r w:rsidRPr="00561F7E">
              <w:t>Weekly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A42F2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717AD" w14:textId="77777777" w:rsidR="00561F7E" w:rsidRPr="00561F7E" w:rsidRDefault="00561F7E" w:rsidP="00561F7E">
            <w:r w:rsidRPr="00561F7E">
              <w:t>£ </w:t>
            </w:r>
          </w:p>
        </w:tc>
      </w:tr>
      <w:tr w:rsidR="00561F7E" w:rsidRPr="00561F7E" w14:paraId="061169F1" w14:textId="77777777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84685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62A2A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C82E6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66BC7" w14:textId="77777777" w:rsidR="00561F7E" w:rsidRPr="00561F7E" w:rsidRDefault="00561F7E" w:rsidP="00561F7E">
            <w:r w:rsidRPr="00561F7E">
              <w:t> </w:t>
            </w:r>
          </w:p>
        </w:tc>
      </w:tr>
      <w:tr w:rsidR="00561F7E" w:rsidRPr="00561F7E" w14:paraId="60884C5E" w14:textId="77777777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A0250" w14:textId="77777777" w:rsidR="00561F7E" w:rsidRPr="00561F7E" w:rsidRDefault="00561F7E" w:rsidP="00561F7E">
            <w:r w:rsidRPr="00561F7E">
              <w:t>Meals/snacks  </w:t>
            </w:r>
          </w:p>
          <w:p w14:paraId="31D7A702" w14:textId="2AD2DD14" w:rsidR="00561F7E" w:rsidRPr="00561F7E" w:rsidRDefault="00561F7E" w:rsidP="00561F7E">
            <w:r w:rsidRPr="00561F7E">
              <w:t>Breakfast (Toast, Cereals and Milk</w:t>
            </w:r>
            <w:r w:rsidR="00A940E8">
              <w:t xml:space="preserve"> and Water</w:t>
            </w:r>
            <w:r w:rsidRPr="00561F7E">
              <w:t>) </w:t>
            </w:r>
          </w:p>
          <w:p w14:paraId="392EB970" w14:textId="15A3EE12" w:rsidR="00561F7E" w:rsidRPr="00561F7E" w:rsidRDefault="00561F7E" w:rsidP="00561F7E">
            <w:r w:rsidRPr="00561F7E">
              <w:t xml:space="preserve">Fruit Snack bowls </w:t>
            </w:r>
            <w:r w:rsidR="00402BB8">
              <w:t xml:space="preserve">for </w:t>
            </w:r>
            <w:r w:rsidRPr="00561F7E">
              <w:t>after school </w:t>
            </w:r>
          </w:p>
          <w:p w14:paraId="508CE2FD" w14:textId="72C19AE9" w:rsidR="00561F7E" w:rsidRPr="00561F7E" w:rsidRDefault="00561F7E" w:rsidP="00561F7E">
            <w:r w:rsidRPr="00561F7E">
              <w:t xml:space="preserve">Light snack after school (Pizza, Noodles, Soup, Pasta, Sandwiches and Crackers with vegetable sticks and </w:t>
            </w:r>
            <w:r w:rsidR="00A940E8">
              <w:t>milk or water</w:t>
            </w:r>
            <w:r w:rsidRPr="00561F7E">
              <w:t>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CF3EE" w14:textId="77777777" w:rsidR="00561F7E" w:rsidRPr="00561F7E" w:rsidRDefault="00561F7E" w:rsidP="00561F7E">
            <w:r w:rsidRPr="00561F7E">
              <w:t>Daily Per meal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6BA24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FD842" w14:textId="5D99B3E6" w:rsidR="00561F7E" w:rsidRPr="00561F7E" w:rsidRDefault="00561F7E" w:rsidP="00561F7E">
            <w:r w:rsidRPr="00561F7E">
              <w:t>£</w:t>
            </w:r>
            <w:r w:rsidR="00402BB8">
              <w:t>3</w:t>
            </w:r>
            <w:r w:rsidRPr="00561F7E">
              <w:t> </w:t>
            </w:r>
          </w:p>
        </w:tc>
      </w:tr>
      <w:tr w:rsidR="00561F7E" w:rsidRPr="00561F7E" w14:paraId="0845EE56" w14:textId="77777777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69DAB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B9C10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EDDB7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C8F65" w14:textId="77777777" w:rsidR="00561F7E" w:rsidRPr="00561F7E" w:rsidRDefault="00561F7E" w:rsidP="00561F7E">
            <w:r w:rsidRPr="00561F7E">
              <w:t> </w:t>
            </w:r>
          </w:p>
        </w:tc>
      </w:tr>
      <w:tr w:rsidR="00561F7E" w:rsidRPr="00561F7E" w14:paraId="2057B12C" w14:textId="77777777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50825" w14:textId="37208638" w:rsidR="00561F7E" w:rsidRPr="00561F7E" w:rsidRDefault="00561F7E" w:rsidP="00561F7E">
            <w:r w:rsidRPr="00561F7E">
              <w:t xml:space="preserve">Consumables (for example, </w:t>
            </w:r>
            <w:r w:rsidR="00D8091A">
              <w:t>wipes, tissues, cooking ingredients, craft materials</w:t>
            </w:r>
            <w:r w:rsidR="00B350EC">
              <w:t>)</w:t>
            </w:r>
            <w:r w:rsidRPr="00561F7E"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66867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02616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1FEC6" w14:textId="528B10B7" w:rsidR="00561F7E" w:rsidRPr="00561F7E" w:rsidRDefault="00561F7E" w:rsidP="00561F7E">
            <w:r w:rsidRPr="00561F7E">
              <w:t>£</w:t>
            </w:r>
            <w:r w:rsidR="00402BB8">
              <w:t>2</w:t>
            </w:r>
            <w:r w:rsidRPr="00561F7E">
              <w:t> </w:t>
            </w:r>
          </w:p>
        </w:tc>
      </w:tr>
      <w:tr w:rsidR="00561F7E" w:rsidRPr="00561F7E" w14:paraId="675F8A19" w14:textId="77777777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4A426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A245E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1E678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34589" w14:textId="77777777" w:rsidR="00561F7E" w:rsidRPr="00561F7E" w:rsidRDefault="00561F7E" w:rsidP="00561F7E">
            <w:r w:rsidRPr="00561F7E">
              <w:t> </w:t>
            </w:r>
          </w:p>
        </w:tc>
      </w:tr>
      <w:tr w:rsidR="00561F7E" w:rsidRPr="00561F7E" w14:paraId="5E17D1A6" w14:textId="77777777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1C3E9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5B1E4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62F0D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7DA8B" w14:textId="77777777" w:rsidR="00561F7E" w:rsidRPr="00561F7E" w:rsidRDefault="00561F7E" w:rsidP="00561F7E">
            <w:r w:rsidRPr="00561F7E">
              <w:t> </w:t>
            </w:r>
          </w:p>
        </w:tc>
      </w:tr>
      <w:tr w:rsidR="00561F7E" w:rsidRPr="00561F7E" w14:paraId="645E92F5" w14:textId="77777777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D2AE43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7741BD3" w14:textId="77777777" w:rsidR="00561F7E" w:rsidRPr="00561F7E" w:rsidRDefault="00561F7E" w:rsidP="00561F7E">
            <w:r w:rsidRPr="00561F7E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C658A" w14:textId="77777777" w:rsidR="00561F7E" w:rsidRPr="00561F7E" w:rsidRDefault="00561F7E" w:rsidP="00561F7E">
            <w:r w:rsidRPr="00561F7E">
              <w:rPr>
                <w:b/>
                <w:bCs/>
              </w:rPr>
              <w:t>Total</w:t>
            </w:r>
            <w:r w:rsidRPr="00561F7E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02A96" w14:textId="75C9E9B5" w:rsidR="00561F7E" w:rsidRPr="00561F7E" w:rsidRDefault="00561F7E" w:rsidP="00561F7E">
            <w:r w:rsidRPr="00561F7E">
              <w:t>£ </w:t>
            </w:r>
            <w:r w:rsidR="00B350EC">
              <w:t>5</w:t>
            </w:r>
          </w:p>
        </w:tc>
      </w:tr>
    </w:tbl>
    <w:p w14:paraId="1B38B25F" w14:textId="77777777" w:rsidR="00561F7E" w:rsidRPr="00561F7E" w:rsidRDefault="00561F7E" w:rsidP="00561F7E">
      <w:r w:rsidRPr="00561F7E">
        <w:t> </w:t>
      </w:r>
    </w:p>
    <w:p w14:paraId="691FB988" w14:textId="317B03E0" w:rsidR="00561F7E" w:rsidRPr="00A6242A" w:rsidRDefault="00B350EC" w:rsidP="00561F7E">
      <w:r w:rsidRPr="00A6242A">
        <w:t>We also accept Tax Free Childcare and Universal Credit C</w:t>
      </w:r>
      <w:r w:rsidR="0093628A" w:rsidRPr="00A6242A">
        <w:t xml:space="preserve">laims.  Tax Free Childcare can be linked to your account via </w:t>
      </w:r>
      <w:proofErr w:type="spellStart"/>
      <w:r w:rsidR="0093628A" w:rsidRPr="00A6242A">
        <w:t>magicbooking</w:t>
      </w:r>
      <w:proofErr w:type="spellEnd"/>
      <w:r w:rsidR="0093628A" w:rsidRPr="00A6242A">
        <w:t xml:space="preserve">.  Universal Credit </w:t>
      </w:r>
      <w:r w:rsidR="003324CC" w:rsidRPr="00A6242A">
        <w:t xml:space="preserve">proof of payment can be downloaded from your account also on </w:t>
      </w:r>
      <w:proofErr w:type="spellStart"/>
      <w:r w:rsidR="003324CC" w:rsidRPr="00A6242A">
        <w:t>magicbooking</w:t>
      </w:r>
      <w:proofErr w:type="spellEnd"/>
      <w:r w:rsidR="003324CC" w:rsidRPr="00A6242A">
        <w:t>.</w:t>
      </w:r>
    </w:p>
    <w:p w14:paraId="540AC2CE" w14:textId="5ECCF4E1" w:rsidR="00F05D02" w:rsidRDefault="00561F7E">
      <w:r w:rsidRPr="00561F7E">
        <w:t xml:space="preserve"> If you do not wish to pay for specific consumables, for example because you wish to provide your own, please make </w:t>
      </w:r>
      <w:r w:rsidR="003324CC">
        <w:t>us</w:t>
      </w:r>
      <w:r w:rsidRPr="00561F7E">
        <w:t xml:space="preserve"> aware so next steps can be discussed. </w:t>
      </w:r>
    </w:p>
    <w:sectPr w:rsidR="00F05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7E"/>
    <w:rsid w:val="00081C0A"/>
    <w:rsid w:val="000C71F1"/>
    <w:rsid w:val="00143744"/>
    <w:rsid w:val="0031097C"/>
    <w:rsid w:val="003324CC"/>
    <w:rsid w:val="00402BB8"/>
    <w:rsid w:val="00561F7E"/>
    <w:rsid w:val="00725847"/>
    <w:rsid w:val="0093628A"/>
    <w:rsid w:val="00A6242A"/>
    <w:rsid w:val="00A940E8"/>
    <w:rsid w:val="00AD7582"/>
    <w:rsid w:val="00B350EC"/>
    <w:rsid w:val="00D46D56"/>
    <w:rsid w:val="00D54FC4"/>
    <w:rsid w:val="00D8091A"/>
    <w:rsid w:val="00D976DF"/>
    <w:rsid w:val="00DC1E29"/>
    <w:rsid w:val="00F0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857E"/>
  <w15:chartTrackingRefBased/>
  <w15:docId w15:val="{F97AF582-02D5-49D8-94A1-6BF4E1F1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1294</Characters>
  <Application>Microsoft Office Word</Application>
  <DocSecurity>0</DocSecurity>
  <Lines>107</Lines>
  <Paragraphs>46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english</dc:creator>
  <cp:keywords/>
  <dc:description/>
  <cp:lastModifiedBy>nicola english</cp:lastModifiedBy>
  <cp:revision>15</cp:revision>
  <dcterms:created xsi:type="dcterms:W3CDTF">2025-12-29T12:49:00Z</dcterms:created>
  <dcterms:modified xsi:type="dcterms:W3CDTF">2026-01-19T14:07:00Z</dcterms:modified>
</cp:coreProperties>
</file>